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LEI Nº             12.633,              DE   1º   DE           </w:t>
      </w:r>
      <w:proofErr w:type="gramStart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AGOSTO</w:t>
      </w:r>
      <w:proofErr w:type="gramEnd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           DE 2024.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Autor: Poder Executivo</w:t>
      </w:r>
    </w:p>
    <w:p w:rsidR="00C311E2" w:rsidRPr="00C311E2" w:rsidRDefault="00C311E2" w:rsidP="00C311E2">
      <w:pPr>
        <w:spacing w:after="0" w:line="240" w:lineRule="auto"/>
        <w:ind w:left="4714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ind w:left="4714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Altera a Lei nº 12.432, de 09 de fevereiro de 2024, que dispõe sobre o Plano Plurianual para o quadriênio 2024-2027, e dá outras providências.</w:t>
      </w:r>
    </w:p>
    <w:p w:rsidR="00C311E2" w:rsidRPr="00C311E2" w:rsidRDefault="00C311E2" w:rsidP="00C311E2">
      <w:pPr>
        <w:spacing w:after="0" w:line="240" w:lineRule="auto"/>
        <w:ind w:left="4714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ind w:firstLine="1571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 ASSEMBLEIA LEGISLATIVA DO ESTADO DE MATO GROSSO</w:t>
      </w: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, tendo em vista o que dispõe o art. 42 da Constituição Estadual, aprova e o Governador do Estado sanciona a seguinte Lei:</w:t>
      </w:r>
    </w:p>
    <w:p w:rsidR="00C311E2" w:rsidRPr="00C311E2" w:rsidRDefault="00C311E2" w:rsidP="00C311E2">
      <w:pPr>
        <w:spacing w:after="0" w:line="240" w:lineRule="auto"/>
        <w:ind w:firstLine="1571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ind w:firstLine="1571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Art.</w:t>
      </w: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1</w:t>
      </w:r>
      <w:proofErr w:type="gramStart"/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º</w:t>
      </w: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 O</w:t>
      </w:r>
      <w:proofErr w:type="gramEnd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 Plano Plurianual 2024-2027 do Estado de Mato Grosso passa a vigorar com as alterações instituídas por esta Lei.</w:t>
      </w:r>
    </w:p>
    <w:p w:rsidR="00C311E2" w:rsidRPr="00C311E2" w:rsidRDefault="00C311E2" w:rsidP="00C311E2">
      <w:pPr>
        <w:spacing w:after="0" w:line="240" w:lineRule="auto"/>
        <w:ind w:firstLine="2095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ind w:firstLine="2095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Parágrafo</w:t>
      </w: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  <w:proofErr w:type="gramStart"/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único</w:t>
      </w: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 As</w:t>
      </w:r>
      <w:proofErr w:type="gramEnd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 alterações de que trata o </w:t>
      </w:r>
      <w:r w:rsidRPr="00C311E2">
        <w:rPr>
          <w:rFonts w:ascii="Arial" w:eastAsia="Times New Roman" w:hAnsi="Arial" w:cs="Arial"/>
          <w:i/>
          <w:iCs/>
          <w:color w:val="000000"/>
          <w:sz w:val="16"/>
          <w:szCs w:val="16"/>
          <w:shd w:val="clear" w:color="auto" w:fill="FFFFFF"/>
          <w:lang w:eastAsia="pt-BR"/>
        </w:rPr>
        <w:t>caput</w:t>
      </w: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deste artigo consistem em:</w:t>
      </w:r>
    </w:p>
    <w:p w:rsidR="00C311E2" w:rsidRPr="00C311E2" w:rsidRDefault="00C311E2" w:rsidP="00C311E2">
      <w:pPr>
        <w:spacing w:after="0" w:line="240" w:lineRule="auto"/>
        <w:ind w:firstLine="2358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ind w:firstLine="2358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I - </w:t>
      </w:r>
      <w:proofErr w:type="gramStart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inclusão</w:t>
      </w:r>
      <w:proofErr w:type="gramEnd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 de unidades orçamentárias com seus respectivos programas, indicadores e ações, conforme Anexo I;</w:t>
      </w:r>
    </w:p>
    <w:p w:rsidR="00C311E2" w:rsidRPr="00C311E2" w:rsidRDefault="00C311E2" w:rsidP="00C311E2">
      <w:pPr>
        <w:spacing w:after="0" w:line="240" w:lineRule="auto"/>
        <w:ind w:firstLine="2358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II - </w:t>
      </w:r>
      <w:proofErr w:type="gramStart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alteração</w:t>
      </w:r>
      <w:proofErr w:type="gramEnd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 de programa, conforme Anexo II;</w:t>
      </w:r>
    </w:p>
    <w:p w:rsidR="00C311E2" w:rsidRPr="00C311E2" w:rsidRDefault="00C311E2" w:rsidP="00C311E2">
      <w:pPr>
        <w:spacing w:after="0" w:line="240" w:lineRule="auto"/>
        <w:ind w:firstLine="2358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III - alteração de indicador, conforme Anexo III;</w:t>
      </w:r>
    </w:p>
    <w:p w:rsidR="00C311E2" w:rsidRPr="00C311E2" w:rsidRDefault="00C311E2" w:rsidP="00C311E2">
      <w:pPr>
        <w:spacing w:after="0" w:line="240" w:lineRule="auto"/>
        <w:ind w:firstLine="2358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IV - </w:t>
      </w:r>
      <w:proofErr w:type="gramStart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alteração</w:t>
      </w:r>
      <w:proofErr w:type="gramEnd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 de ações, conforme Anexo IV;</w:t>
      </w:r>
    </w:p>
    <w:p w:rsidR="00C311E2" w:rsidRPr="00C311E2" w:rsidRDefault="00C311E2" w:rsidP="00C311E2">
      <w:pPr>
        <w:spacing w:after="0" w:line="240" w:lineRule="auto"/>
        <w:ind w:firstLine="2358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V - </w:t>
      </w:r>
      <w:proofErr w:type="gramStart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alteração</w:t>
      </w:r>
      <w:proofErr w:type="gramEnd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 do Plano Estratégico do Governo do Estado de Mato Grosso, conforme Anexo V;</w:t>
      </w:r>
    </w:p>
    <w:p w:rsidR="00C311E2" w:rsidRPr="00C311E2" w:rsidRDefault="00C311E2" w:rsidP="00C311E2">
      <w:pPr>
        <w:spacing w:after="0" w:line="240" w:lineRule="auto"/>
        <w:ind w:firstLine="2358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VI - </w:t>
      </w:r>
      <w:proofErr w:type="gramStart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alteração</w:t>
      </w:r>
      <w:proofErr w:type="gramEnd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 do Anexo de Metas e Prioridades da Administração Pública Estadual para o exercício de 2024, conforme Anexo VI.</w:t>
      </w:r>
    </w:p>
    <w:p w:rsidR="00C311E2" w:rsidRPr="00C311E2" w:rsidRDefault="00C311E2" w:rsidP="00C311E2">
      <w:pPr>
        <w:spacing w:after="0" w:line="240" w:lineRule="auto"/>
        <w:ind w:firstLine="1571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ind w:firstLine="1571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Art.</w:t>
      </w: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2º</w:t>
      </w: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Esta Lei entra em vigor na data de sua publicação.</w:t>
      </w:r>
    </w:p>
    <w:p w:rsidR="00C311E2" w:rsidRPr="00C311E2" w:rsidRDefault="00C311E2" w:rsidP="00C311E2">
      <w:pPr>
        <w:spacing w:after="0" w:line="240" w:lineRule="auto"/>
        <w:ind w:firstLine="1571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ind w:firstLine="1571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Palácio </w:t>
      </w:r>
      <w:proofErr w:type="spellStart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Paiaguás</w:t>
      </w:r>
      <w:proofErr w:type="spellEnd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, em </w:t>
      </w:r>
      <w:proofErr w:type="gramStart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Cuiabá,  1</w:t>
      </w:r>
      <w:proofErr w:type="gramEnd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º  de  agosto  de 2024, 203º da Independência e 136º da República.</w:t>
      </w:r>
    </w:p>
    <w:p w:rsidR="00C311E2" w:rsidRPr="00C311E2" w:rsidRDefault="00C311E2" w:rsidP="00C311E2">
      <w:pPr>
        <w:spacing w:after="0" w:line="240" w:lineRule="auto"/>
        <w:ind w:firstLine="1571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ind w:firstLine="1571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MAURO MENDES</w:t>
      </w:r>
    </w:p>
    <w:p w:rsidR="00C311E2" w:rsidRPr="00C311E2" w:rsidRDefault="00C311E2" w:rsidP="00C311E2">
      <w:pPr>
        <w:spacing w:after="0" w:line="240" w:lineRule="auto"/>
        <w:ind w:firstLine="1571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i/>
          <w:iCs/>
          <w:color w:val="000000"/>
          <w:sz w:val="16"/>
          <w:szCs w:val="16"/>
          <w:shd w:val="clear" w:color="auto" w:fill="FFFFFF"/>
          <w:lang w:eastAsia="pt-BR"/>
        </w:rPr>
        <w:t>Governador do Estado</w:t>
      </w:r>
    </w:p>
    <w:p w:rsidR="00C311E2" w:rsidRPr="00C311E2" w:rsidRDefault="00C311E2" w:rsidP="00C311E2">
      <w:pPr>
        <w:spacing w:after="0" w:line="240" w:lineRule="auto"/>
        <w:ind w:firstLine="1571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I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INCLUSÃO DE UNIDADES ORÇAMENTÁRIAS, PROGRAMAS, INDICADORES E AÇÕES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5"/>
        <w:gridCol w:w="1199"/>
        <w:gridCol w:w="1713"/>
        <w:gridCol w:w="600"/>
        <w:gridCol w:w="600"/>
        <w:gridCol w:w="772"/>
        <w:gridCol w:w="1115"/>
      </w:tblGrid>
      <w:tr w:rsidR="00C311E2" w:rsidRPr="00C311E2" w:rsidTr="00C311E2">
        <w:tc>
          <w:tcPr>
            <w:tcW w:w="1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Eixo</w:t>
            </w:r>
          </w:p>
        </w:tc>
        <w:tc>
          <w:tcPr>
            <w:tcW w:w="3500" w:type="pct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4-Infraestrutura</w:t>
            </w:r>
          </w:p>
        </w:tc>
      </w:tr>
      <w:tr w:rsidR="00C311E2" w:rsidRPr="00C311E2" w:rsidTr="00C311E2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Estratégico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Promover a modernização e expansão da infraestrutura e logística, aumentando a competitividade   e eficiência do Estado com desenvolvimento sustentável</w:t>
            </w:r>
          </w:p>
        </w:tc>
      </w:tr>
      <w:tr w:rsidR="00C311E2" w:rsidRPr="00C311E2" w:rsidTr="00C311E2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Gestão da Logística Hidroviária</w:t>
            </w:r>
          </w:p>
        </w:tc>
      </w:tr>
      <w:tr w:rsidR="00C311E2" w:rsidRPr="00C311E2" w:rsidTr="00C311E2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Público Alvo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Usuários do Porto, operadores logísticos e empresas de comércio exterior.</w:t>
            </w:r>
          </w:p>
        </w:tc>
      </w:tr>
      <w:tr w:rsidR="00C311E2" w:rsidRPr="00C311E2" w:rsidTr="00C311E2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Finalístico</w:t>
            </w:r>
          </w:p>
        </w:tc>
      </w:tr>
      <w:tr w:rsidR="00C311E2" w:rsidRPr="00C311E2" w:rsidTr="00C311E2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04503 - Terminal Portuário de Cáceres S.A.</w:t>
            </w:r>
          </w:p>
        </w:tc>
      </w:tr>
      <w:tr w:rsidR="00C311E2" w:rsidRPr="00C311E2" w:rsidTr="00C311E2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de Desenvolvimento Sustentável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9 - </w:t>
            </w:r>
            <w:proofErr w:type="gram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Indústria, inovação e infraestrutura</w:t>
            </w:r>
            <w:proofErr w:type="gram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- Construir infraestrutura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resiliente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, promover a industrialização inclusiva e sustentável, e fomentar a inovação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C311E2" w:rsidRPr="00C311E2" w:rsidTr="00C311E2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de Programa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Prover a infraestrutura de transportes, melhorando a capacidade e eficiência do transporte hidroviário promovendo a modernização da infraestrutura do Porto de Cáceres, de modo a garantir segurança, aumento de velocidade de tráfego e de volume de cargas.</w:t>
            </w:r>
          </w:p>
        </w:tc>
      </w:tr>
      <w:tr w:rsidR="00C311E2" w:rsidRPr="00C311E2" w:rsidTr="00C311E2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Indicadores/Unidade de Medida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Última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Apuração (ano)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Periodicidade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2026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2027</w:t>
            </w:r>
          </w:p>
        </w:tc>
      </w:tr>
      <w:tr w:rsidR="00C311E2" w:rsidRPr="00C311E2" w:rsidTr="00C311E2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Volume de cargas movimentado (Toneladas)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2023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Anual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10.000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10.000</w:t>
            </w:r>
          </w:p>
        </w:tc>
      </w:tr>
    </w:tbl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9"/>
        <w:gridCol w:w="1457"/>
        <w:gridCol w:w="1285"/>
        <w:gridCol w:w="1286"/>
        <w:gridCol w:w="1286"/>
        <w:gridCol w:w="1371"/>
      </w:tblGrid>
      <w:tr w:rsidR="00C311E2" w:rsidRPr="00C311E2" w:rsidTr="00C311E2"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Ação</w:t>
            </w:r>
          </w:p>
        </w:tc>
        <w:tc>
          <w:tcPr>
            <w:tcW w:w="3900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Gestão do Terminal Portuário de Cáceres</w:t>
            </w:r>
          </w:p>
        </w:tc>
      </w:tr>
      <w:tr w:rsidR="00C311E2" w:rsidRPr="00C311E2" w:rsidTr="00C311E2"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Público alvo</w:t>
            </w: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Sociedade e governo</w:t>
            </w:r>
          </w:p>
        </w:tc>
      </w:tr>
      <w:tr w:rsidR="00C311E2" w:rsidRPr="00C311E2" w:rsidTr="00C311E2"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Específico:</w:t>
            </w: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Administrar e operar, diretamente ou mediante contratos de locação, arrendamento ou outras modalidades contratuais onerosas ou gratuitas, o Porto Fluvial de Cáceres e suas instalações portuárias.</w:t>
            </w:r>
          </w:p>
        </w:tc>
      </w:tr>
      <w:tr w:rsidR="00C311E2" w:rsidRPr="00C311E2" w:rsidTr="00C311E2"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04503 - Terminal Portuário de Cáceres S.A.</w:t>
            </w:r>
          </w:p>
        </w:tc>
      </w:tr>
      <w:tr w:rsidR="00C311E2" w:rsidRPr="00C311E2" w:rsidTr="00C311E2">
        <w:tc>
          <w:tcPr>
            <w:tcW w:w="105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Recursos da ação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Fonte de recursos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2024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2025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2026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2027</w:t>
            </w:r>
          </w:p>
        </w:tc>
      </w:tr>
      <w:tr w:rsidR="00C311E2" w:rsidRPr="00C311E2" w:rsidTr="00C311E2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1.500.0000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</w:tr>
      <w:tr w:rsidR="00C311E2" w:rsidRPr="00C311E2" w:rsidTr="00C311E2"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ODS</w:t>
            </w: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Metas</w:t>
            </w:r>
          </w:p>
        </w:tc>
      </w:tr>
      <w:tr w:rsidR="00C311E2" w:rsidRPr="00C311E2" w:rsidTr="00C311E2">
        <w:tc>
          <w:tcPr>
            <w:tcW w:w="105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9 - </w:t>
            </w:r>
            <w:proofErr w:type="gram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Indústria, inovação e infraestrutura</w:t>
            </w:r>
            <w:proofErr w:type="gramEnd"/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Aprimorar o sistema viário do País, com foco em sustentabilidade e segurança no trânsito e transporte, equalizando as desigualdades regionais, promovendo a integração regional e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transfronteiriça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, na busca de menor custo, para o transporte de passageiros e de cargas, evitando perdas, com maior participação dos modos de alta capacidade como ferroviário,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aquaviário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e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dutoviário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, tornando-o acessível e proporcionando bem-estar a todos</w:t>
            </w:r>
          </w:p>
        </w:tc>
      </w:tr>
      <w:tr w:rsidR="00C311E2" w:rsidRPr="00C311E2" w:rsidTr="00C311E2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promover a atividade econômica inclusiva e sustentável e a atividade de alta complexidade tecnológica, com foco na elevação da produtividade, do emprego e do PIB, e com melhora nas condições de trabalho e na apropriação dos ganhos de produtividade advindos</w:t>
            </w:r>
          </w:p>
        </w:tc>
      </w:tr>
      <w:tr w:rsidR="00C311E2" w:rsidRPr="00C311E2" w:rsidTr="00C311E2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Aumentar e desburocratizar o acesso das micro e pequenas empresas a todos os serviços financeiros, garantindo crédito em condições adequadas à realidade dessas empresas, inclusive por meio de soluções tecnológicas inovadoras, para propiciar sua integração em cadeias de valor e mercados.</w:t>
            </w:r>
          </w:p>
        </w:tc>
      </w:tr>
      <w:tr w:rsidR="00C311E2" w:rsidRPr="00C311E2" w:rsidTr="00C311E2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modernizar a infraestrutura e reabilitar as atividades econômicas para torná-las sustentáveis, com foco no uso de recursos renováveis e maior adoção de tecnologias e processos industriais limpos e ambientalmente adequados.</w:t>
            </w:r>
          </w:p>
        </w:tc>
      </w:tr>
      <w:tr w:rsidR="00C311E2" w:rsidRPr="00C311E2" w:rsidTr="00C311E2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Fortalecer a pesquisa científica e melhorar as capacidades tecnológicas das empresas, incentivando, até 2030, a inovação, visando aumentar o emprego do conhecimento científico e tecnológico nos desafios socioeconômicos nacionais e nas tecnologias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socioambientalmente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inclusivas; e aumentar a produtividade agregada da economia.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a) aumentar para 3.000 o número de trabalhadores de pesquisa e desenvolvimento por milhão de habitantes;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b) aumentar para 120.000 o número de técnicos e pesquisadores ocupados em P&amp;D nas empresas; e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c) aumentar para 2,00% os gastos público e privado em pesquisa e desenvolvimento em relação ao PIB.</w:t>
            </w:r>
          </w:p>
        </w:tc>
      </w:tr>
      <w:tr w:rsidR="00C311E2" w:rsidRPr="00C311E2" w:rsidTr="00C311E2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Facilitar o desenvolvimento de infraestrutura sustentável e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resiliente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em países em desenvolvimento, por meio de maior apoio financeiro, tecnológico e técnico aos países africanos, aos países de menor desenvolvimento relativo, aos países em desenvolvimento sem litoral e aos pequenos Estados insulares em desenvolvimento.</w:t>
            </w:r>
          </w:p>
        </w:tc>
      </w:tr>
      <w:tr w:rsidR="00C311E2" w:rsidRPr="00C311E2" w:rsidTr="00C311E2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Apoiar o desenvolvimento tecnológico, a pesquisa e a inovação nacionais, por meio de políticas públicas que assegurem um ambiente institucional e normativo favorável para, entre outras coisas, promover a diversificação industrial e a agregação de valor às commodities.</w:t>
            </w:r>
          </w:p>
        </w:tc>
      </w:tr>
      <w:tr w:rsidR="00C311E2" w:rsidRPr="00C311E2" w:rsidTr="00C311E2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Aumentar significativamente o acesso às tecnologias de informação e comunicação e empenhar-se para oferecer acesso universal e a preços acessíveis à internet, até 2020, buscando garantir a qualidade, a privacidade, a proteção de dados e a segurança cibernética.</w:t>
            </w:r>
          </w:p>
        </w:tc>
      </w:tr>
      <w:tr w:rsidR="00C311E2" w:rsidRPr="00C311E2" w:rsidTr="00C311E2"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Público Alvo Transversal:</w:t>
            </w: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C311E2" w:rsidRPr="00C311E2" w:rsidTr="00C311E2"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Produto/Unidade de Medida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Região de Planejamento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2024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2025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2026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2027</w:t>
            </w:r>
          </w:p>
        </w:tc>
      </w:tr>
      <w:tr w:rsidR="00C311E2" w:rsidRPr="00C311E2" w:rsidTr="00C311E2"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1057 - Gestão realizada (Percentual)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ESTADO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</w:tr>
    </w:tbl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0"/>
        <w:gridCol w:w="1370"/>
        <w:gridCol w:w="1286"/>
        <w:gridCol w:w="772"/>
        <w:gridCol w:w="857"/>
        <w:gridCol w:w="772"/>
        <w:gridCol w:w="857"/>
      </w:tblGrid>
      <w:tr w:rsidR="00C311E2" w:rsidRPr="00C311E2" w:rsidTr="00C311E2">
        <w:trPr>
          <w:trHeight w:val="230"/>
        </w:trPr>
        <w:tc>
          <w:tcPr>
            <w:tcW w:w="1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Eixo</w:t>
            </w:r>
          </w:p>
        </w:tc>
        <w:tc>
          <w:tcPr>
            <w:tcW w:w="3450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4-Infraestrutura</w:t>
            </w:r>
          </w:p>
        </w:tc>
      </w:tr>
      <w:tr w:rsidR="00C311E2" w:rsidRPr="00C311E2" w:rsidTr="00C311E2">
        <w:trPr>
          <w:trHeight w:val="230"/>
        </w:trPr>
        <w:tc>
          <w:tcPr>
            <w:tcW w:w="1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Estratégico</w:t>
            </w:r>
          </w:p>
        </w:tc>
        <w:tc>
          <w:tcPr>
            <w:tcW w:w="345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Promover a modernização e expansão da infraestrutura e logística, aumentando a competitividade e eficiência do Estado com desenvolvimento sustentável</w:t>
            </w:r>
          </w:p>
        </w:tc>
      </w:tr>
      <w:tr w:rsidR="00C311E2" w:rsidRPr="00C311E2" w:rsidTr="00C311E2">
        <w:trPr>
          <w:trHeight w:val="230"/>
        </w:trPr>
        <w:tc>
          <w:tcPr>
            <w:tcW w:w="1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</w:t>
            </w:r>
          </w:p>
        </w:tc>
        <w:tc>
          <w:tcPr>
            <w:tcW w:w="345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Concessões e Serviços</w:t>
            </w:r>
          </w:p>
        </w:tc>
      </w:tr>
      <w:tr w:rsidR="00C311E2" w:rsidRPr="00C311E2" w:rsidTr="00C311E2">
        <w:trPr>
          <w:trHeight w:val="230"/>
        </w:trPr>
        <w:tc>
          <w:tcPr>
            <w:tcW w:w="1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Público Alvo</w:t>
            </w:r>
          </w:p>
        </w:tc>
        <w:tc>
          <w:tcPr>
            <w:tcW w:w="345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Sociedade e governo</w:t>
            </w:r>
          </w:p>
        </w:tc>
      </w:tr>
      <w:tr w:rsidR="00C311E2" w:rsidRPr="00C311E2" w:rsidTr="00C311E2">
        <w:trPr>
          <w:trHeight w:val="230"/>
        </w:trPr>
        <w:tc>
          <w:tcPr>
            <w:tcW w:w="1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</w:t>
            </w:r>
          </w:p>
        </w:tc>
        <w:tc>
          <w:tcPr>
            <w:tcW w:w="345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Finalístico</w:t>
            </w:r>
          </w:p>
        </w:tc>
      </w:tr>
      <w:tr w:rsidR="00C311E2" w:rsidRPr="00C311E2" w:rsidTr="00C311E2">
        <w:trPr>
          <w:trHeight w:val="230"/>
        </w:trPr>
        <w:tc>
          <w:tcPr>
            <w:tcW w:w="1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345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4502 - MT PAR Concessões S/A.</w:t>
            </w:r>
          </w:p>
        </w:tc>
      </w:tr>
      <w:tr w:rsidR="00C311E2" w:rsidRPr="00C311E2" w:rsidTr="00C311E2">
        <w:trPr>
          <w:trHeight w:val="230"/>
        </w:trPr>
        <w:tc>
          <w:tcPr>
            <w:tcW w:w="1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de Desenvolvimento Sustentável</w:t>
            </w:r>
          </w:p>
        </w:tc>
        <w:tc>
          <w:tcPr>
            <w:tcW w:w="345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 9- </w:t>
            </w:r>
            <w:proofErr w:type="gram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Indústria, inovação e infraestrutura</w:t>
            </w:r>
            <w:proofErr w:type="gram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- Construir infraestrutura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resiliente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, promover a industrialização inclusiva e sustentável, e fomentar a inovação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C311E2" w:rsidRPr="00C311E2" w:rsidTr="00C311E2">
        <w:trPr>
          <w:trHeight w:val="328"/>
        </w:trPr>
        <w:tc>
          <w:tcPr>
            <w:tcW w:w="1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de Programa</w:t>
            </w:r>
          </w:p>
        </w:tc>
        <w:tc>
          <w:tcPr>
            <w:tcW w:w="345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Gerir, direta ou indiretamente, concessões de obras, serviços públicos e operações de infraestruturas em geral de interesse da MT PAR CONCESSÕES e do governo estadual.</w:t>
            </w:r>
          </w:p>
        </w:tc>
      </w:tr>
      <w:tr w:rsidR="00C311E2" w:rsidRPr="00C311E2" w:rsidTr="00C311E2">
        <w:trPr>
          <w:trHeight w:val="390"/>
        </w:trPr>
        <w:tc>
          <w:tcPr>
            <w:tcW w:w="1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Indicadores/Unidade de Medida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Última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Apuração (ano)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Periodicidade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2026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2027</w:t>
            </w:r>
          </w:p>
        </w:tc>
      </w:tr>
      <w:tr w:rsidR="00C311E2" w:rsidRPr="00C311E2" w:rsidTr="00C311E2">
        <w:trPr>
          <w:trHeight w:val="276"/>
        </w:trPr>
        <w:tc>
          <w:tcPr>
            <w:tcW w:w="1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Contratos de Concessões e Parcerias Público-Privadas Vigentes/Unidade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2023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Anual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</w:tbl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"/>
        <w:gridCol w:w="685"/>
        <w:gridCol w:w="257"/>
        <w:gridCol w:w="1199"/>
        <w:gridCol w:w="514"/>
        <w:gridCol w:w="772"/>
        <w:gridCol w:w="686"/>
        <w:gridCol w:w="514"/>
        <w:gridCol w:w="857"/>
        <w:gridCol w:w="343"/>
        <w:gridCol w:w="1200"/>
      </w:tblGrid>
      <w:tr w:rsidR="00C311E2" w:rsidRPr="00C311E2" w:rsidTr="00C311E2">
        <w:trPr>
          <w:trHeight w:val="230"/>
        </w:trPr>
        <w:tc>
          <w:tcPr>
            <w:tcW w:w="8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Ação</w:t>
            </w:r>
          </w:p>
        </w:tc>
        <w:tc>
          <w:tcPr>
            <w:tcW w:w="4100" w:type="pct"/>
            <w:gridSpan w:val="10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Gestão de Concessões</w:t>
            </w:r>
          </w:p>
        </w:tc>
      </w:tr>
      <w:tr w:rsidR="00C311E2" w:rsidRPr="00C311E2" w:rsidTr="00C311E2">
        <w:trPr>
          <w:trHeight w:val="229"/>
        </w:trPr>
        <w:tc>
          <w:tcPr>
            <w:tcW w:w="8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Público alvo</w:t>
            </w: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Sociedade e governo</w:t>
            </w:r>
          </w:p>
        </w:tc>
      </w:tr>
      <w:tr w:rsidR="00C311E2" w:rsidRPr="00C311E2" w:rsidTr="00C311E2">
        <w:trPr>
          <w:trHeight w:val="709"/>
        </w:trPr>
        <w:tc>
          <w:tcPr>
            <w:tcW w:w="8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Específico:</w:t>
            </w: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Gerir concessões de obras, serviços públicos e operações de infraestrutura em geral.</w:t>
            </w:r>
          </w:p>
        </w:tc>
      </w:tr>
      <w:tr w:rsidR="00C311E2" w:rsidRPr="00C311E2" w:rsidTr="00C311E2">
        <w:trPr>
          <w:trHeight w:val="230"/>
        </w:trPr>
        <w:tc>
          <w:tcPr>
            <w:tcW w:w="8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04502 - MT PAR Concessões S/A</w:t>
            </w:r>
          </w:p>
        </w:tc>
      </w:tr>
      <w:tr w:rsidR="00C311E2" w:rsidRPr="00C311E2" w:rsidTr="00C311E2">
        <w:trPr>
          <w:trHeight w:val="230"/>
        </w:trPr>
        <w:tc>
          <w:tcPr>
            <w:tcW w:w="85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Recursos da ação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Fonte de recursos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2024</w:t>
            </w:r>
          </w:p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2025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2026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2027</w:t>
            </w:r>
          </w:p>
        </w:tc>
      </w:tr>
      <w:tr w:rsidR="00C311E2" w:rsidRPr="00C311E2" w:rsidTr="00C311E2">
        <w:trPr>
          <w:trHeight w:val="23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1.500.0000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</w:tr>
      <w:tr w:rsidR="00C311E2" w:rsidRPr="00C311E2" w:rsidTr="00C311E2">
        <w:trPr>
          <w:trHeight w:val="230"/>
        </w:trPr>
        <w:tc>
          <w:tcPr>
            <w:tcW w:w="8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ODS</w:t>
            </w: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Metas</w:t>
            </w:r>
          </w:p>
        </w:tc>
      </w:tr>
      <w:tr w:rsidR="00C311E2" w:rsidRPr="00C311E2" w:rsidTr="00C311E2">
        <w:trPr>
          <w:trHeight w:val="390"/>
        </w:trPr>
        <w:tc>
          <w:tcPr>
            <w:tcW w:w="85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9 - </w:t>
            </w:r>
            <w:proofErr w:type="gram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Indústria, inovação e infraestrutura</w:t>
            </w:r>
            <w:proofErr w:type="gramEnd"/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Aprimorar o sistema viário do País, com foco em sustentabilidade e segurança no trânsito e transporte, equalizando as desigualdades regionais, promovendo a integração regional e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transfronteiriça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, na busca de menor custo, para o transporte de passageiros e de cargas, evitando perdas, com maior participação dos modos de alta capacidade como ferroviário,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aquaviário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e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dutoviário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, tornando-o acessível e proporcionando bem-estar a todos</w:t>
            </w:r>
          </w:p>
        </w:tc>
      </w:tr>
      <w:tr w:rsidR="00C311E2" w:rsidRPr="00C311E2" w:rsidTr="00C311E2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promover a atividade econômica inclusiva e sustentável e a atividade de alta complexidade tecnológica, com foco na elevação da produtividade, do emprego e do PIB, e com melhora nas condições de trabalho e na apropriação dos ganhos de produtividade advindos</w:t>
            </w:r>
          </w:p>
        </w:tc>
      </w:tr>
      <w:tr w:rsidR="00C311E2" w:rsidRPr="00C311E2" w:rsidTr="00C311E2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Aumentar e desburocratizar o acesso das micro e pequenas empresas a todos os serviços financeiros, garantindo crédito em condições adequadas à realidade dessas empresas, inclusive por meio de soluções tecnológicas inovadoras, para propiciar sua integração em cadeias de valor e mercados.</w:t>
            </w:r>
          </w:p>
        </w:tc>
      </w:tr>
      <w:tr w:rsidR="00C311E2" w:rsidRPr="00C311E2" w:rsidTr="00C311E2">
        <w:trPr>
          <w:trHeight w:val="23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modernizar a infraestrutura e reabilitar as atividades econômicas para torná-las sustentáveis, com foco no uso de recursos renováveis e maior adoção de tecnologias e processos industriais limpos e ambientalmente adequados.</w:t>
            </w:r>
          </w:p>
        </w:tc>
      </w:tr>
      <w:tr w:rsidR="00C311E2" w:rsidRPr="00C311E2" w:rsidTr="00C311E2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Fortalecer a pesquisa científica e melhorar as capacidades tecnológicas das empresas, incentivando, até 2030, a inovação, visando aumentar o emprego do conhecimento científico e tecnológico nos desafios socioeconômicos nacionais e nas tecnologias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socioambientalmente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inclusivas; e aumentar a produtividade agregada da economia.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a) aumentar para 3.000 o número de trabalhadores de pesquisa e desenvolvimento por milhão de habitantes;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b) aumentar para 120.000 o número de técnicos e pesquisadores ocupados em P&amp;D nas empresas; e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c) aumentar para 2,00% os gastos público e privado em pesquisa e desenvolvimento em relação ao PIB.</w:t>
            </w:r>
          </w:p>
        </w:tc>
      </w:tr>
      <w:tr w:rsidR="00C311E2" w:rsidRPr="00C311E2" w:rsidTr="00C311E2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Facilitar o desenvolvimento de infraestrutura sustentável e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resiliente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em países em desenvolvimento, por meio de maior apoio financeiro, tecnológico e técnico aos países africanos, aos países de menor desenvolvimento relativo, aos países em desenvolvimento sem litoral e aos pequenos Estados insulares em desenvolvimento.</w:t>
            </w:r>
          </w:p>
        </w:tc>
      </w:tr>
      <w:tr w:rsidR="00C311E2" w:rsidRPr="00C311E2" w:rsidTr="00C311E2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Apoiar o desenvolvimento tecnológico, a pesquisa e a inovação nacionais, por meio de políticas públicas que assegurem um ambiente institucional e normativo favorável para, entre outras coisas, promover a diversificação industrial e a agregação de valor às commodities.</w:t>
            </w:r>
          </w:p>
        </w:tc>
      </w:tr>
      <w:tr w:rsidR="00C311E2" w:rsidRPr="00C311E2" w:rsidTr="00C311E2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Aumentar significativamente o acesso às tecnologias de informação e comunicação e empenhar-se para oferecer acesso universal e a preços acessíveis à internet, até 2020, buscando garantir a qualidade, a privacidade, a proteção de dados e a segurança cibernética.</w:t>
            </w:r>
          </w:p>
        </w:tc>
      </w:tr>
      <w:tr w:rsidR="00C311E2" w:rsidRPr="00C311E2" w:rsidTr="00C311E2">
        <w:trPr>
          <w:trHeight w:val="230"/>
        </w:trPr>
        <w:tc>
          <w:tcPr>
            <w:tcW w:w="8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Público Alvo Transversal:</w:t>
            </w: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C311E2" w:rsidRPr="00C311E2" w:rsidTr="00C311E2">
        <w:trPr>
          <w:trHeight w:val="230"/>
        </w:trPr>
        <w:tc>
          <w:tcPr>
            <w:tcW w:w="125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Produto/Unidade de Medida</w:t>
            </w:r>
          </w:p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Região de Planejamento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2024</w:t>
            </w:r>
          </w:p>
        </w:tc>
        <w:tc>
          <w:tcPr>
            <w:tcW w:w="7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2025</w:t>
            </w:r>
          </w:p>
        </w:tc>
        <w:tc>
          <w:tcPr>
            <w:tcW w:w="7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2026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2027</w:t>
            </w:r>
          </w:p>
        </w:tc>
      </w:tr>
      <w:tr w:rsidR="00C311E2" w:rsidRPr="00C311E2" w:rsidTr="00C311E2">
        <w:trPr>
          <w:trHeight w:val="230"/>
        </w:trPr>
        <w:tc>
          <w:tcPr>
            <w:tcW w:w="125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1057 - Gestão </w:t>
            </w:r>
            <w:proofErr w:type="gram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realizada(</w:t>
            </w:r>
            <w:proofErr w:type="gram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Percentual)</w:t>
            </w:r>
          </w:p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ESTADO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  <w:tc>
          <w:tcPr>
            <w:tcW w:w="7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  <w:tc>
          <w:tcPr>
            <w:tcW w:w="7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</w:tr>
      <w:tr w:rsidR="00C311E2" w:rsidRPr="00C311E2" w:rsidTr="00C311E2"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5"/>
        <w:gridCol w:w="1371"/>
        <w:gridCol w:w="1542"/>
        <w:gridCol w:w="686"/>
        <w:gridCol w:w="686"/>
        <w:gridCol w:w="686"/>
        <w:gridCol w:w="1028"/>
      </w:tblGrid>
      <w:tr w:rsidR="00C311E2" w:rsidRPr="00C311E2" w:rsidTr="00C311E2">
        <w:trPr>
          <w:trHeight w:val="230"/>
        </w:trPr>
        <w:tc>
          <w:tcPr>
            <w:tcW w:w="14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Eixo</w:t>
            </w:r>
          </w:p>
        </w:tc>
        <w:tc>
          <w:tcPr>
            <w:tcW w:w="3500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4-Infraestrutura</w:t>
            </w:r>
          </w:p>
        </w:tc>
      </w:tr>
      <w:tr w:rsidR="00C311E2" w:rsidRPr="00C311E2" w:rsidTr="00C311E2">
        <w:trPr>
          <w:trHeight w:val="230"/>
        </w:trPr>
        <w:tc>
          <w:tcPr>
            <w:tcW w:w="14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Estratégico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Promover a modernização e expansão da infraestrutura e logística, aumentando a competitividade e eficiência do Estado com desenvolvimento sustentável</w:t>
            </w:r>
          </w:p>
        </w:tc>
      </w:tr>
      <w:tr w:rsidR="00C311E2" w:rsidRPr="00C311E2" w:rsidTr="00C311E2">
        <w:trPr>
          <w:trHeight w:val="230"/>
        </w:trPr>
        <w:tc>
          <w:tcPr>
            <w:tcW w:w="14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Gestão de Parques</w:t>
            </w:r>
          </w:p>
        </w:tc>
      </w:tr>
      <w:tr w:rsidR="00C311E2" w:rsidRPr="00C311E2" w:rsidTr="00C311E2">
        <w:trPr>
          <w:trHeight w:val="230"/>
        </w:trPr>
        <w:tc>
          <w:tcPr>
            <w:tcW w:w="14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Público Alvo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Sociedade</w:t>
            </w:r>
          </w:p>
        </w:tc>
      </w:tr>
      <w:tr w:rsidR="00C311E2" w:rsidRPr="00C311E2" w:rsidTr="00C311E2">
        <w:trPr>
          <w:trHeight w:val="230"/>
        </w:trPr>
        <w:tc>
          <w:tcPr>
            <w:tcW w:w="14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Finalístico</w:t>
            </w:r>
          </w:p>
        </w:tc>
      </w:tr>
      <w:tr w:rsidR="00C311E2" w:rsidRPr="00C311E2" w:rsidTr="00C311E2">
        <w:trPr>
          <w:trHeight w:val="230"/>
        </w:trPr>
        <w:tc>
          <w:tcPr>
            <w:tcW w:w="14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04504 - MT Parques S.A.</w:t>
            </w:r>
          </w:p>
        </w:tc>
      </w:tr>
      <w:tr w:rsidR="00C311E2" w:rsidRPr="00C311E2" w:rsidTr="00C311E2">
        <w:trPr>
          <w:trHeight w:val="230"/>
        </w:trPr>
        <w:tc>
          <w:tcPr>
            <w:tcW w:w="14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de Desenvolvimento Sustentável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11 - Tornar as cidades e os assentamentos humanos inclusivos, seguros,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resilientes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e sustentáveis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C311E2" w:rsidRPr="00C311E2" w:rsidTr="00C311E2">
        <w:trPr>
          <w:trHeight w:val="230"/>
        </w:trPr>
        <w:tc>
          <w:tcPr>
            <w:tcW w:w="14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de Programa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Proporcionar à população do Estado de Mato Grosso, bem como aos visitantes, um local de acesso a uma ampla gama de atividades recreativas e culturais</w:t>
            </w:r>
          </w:p>
        </w:tc>
      </w:tr>
      <w:tr w:rsidR="00C311E2" w:rsidRPr="00C311E2" w:rsidTr="00C311E2">
        <w:trPr>
          <w:trHeight w:val="390"/>
        </w:trPr>
        <w:tc>
          <w:tcPr>
            <w:tcW w:w="14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Indicadores/Unidade de Medida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Última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Apuração (ano)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Periodicidade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2025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2027</w:t>
            </w:r>
          </w:p>
        </w:tc>
      </w:tr>
      <w:tr w:rsidR="00C311E2" w:rsidRPr="00C311E2" w:rsidTr="00C311E2">
        <w:trPr>
          <w:trHeight w:val="276"/>
        </w:trPr>
        <w:tc>
          <w:tcPr>
            <w:tcW w:w="14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Número de visitantes/Unidade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2023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Anual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4.900.000</w:t>
            </w:r>
          </w:p>
        </w:tc>
      </w:tr>
    </w:tbl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5"/>
        <w:gridCol w:w="856"/>
        <w:gridCol w:w="257"/>
        <w:gridCol w:w="1114"/>
        <w:gridCol w:w="514"/>
        <w:gridCol w:w="857"/>
        <w:gridCol w:w="686"/>
        <w:gridCol w:w="514"/>
        <w:gridCol w:w="943"/>
        <w:gridCol w:w="258"/>
        <w:gridCol w:w="1200"/>
      </w:tblGrid>
      <w:tr w:rsidR="00C311E2" w:rsidRPr="00C311E2" w:rsidTr="00C311E2">
        <w:trPr>
          <w:trHeight w:val="230"/>
        </w:trPr>
        <w:tc>
          <w:tcPr>
            <w:tcW w:w="7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Ação</w:t>
            </w:r>
          </w:p>
        </w:tc>
        <w:tc>
          <w:tcPr>
            <w:tcW w:w="4200" w:type="pct"/>
            <w:gridSpan w:val="10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Gestão do "Parque Novo Mato Grosso"</w:t>
            </w:r>
          </w:p>
        </w:tc>
      </w:tr>
      <w:tr w:rsidR="00C311E2" w:rsidRPr="00C311E2" w:rsidTr="00C311E2">
        <w:trPr>
          <w:trHeight w:val="215"/>
        </w:trPr>
        <w:tc>
          <w:tcPr>
            <w:tcW w:w="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Público alvo</w:t>
            </w: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Sociedade</w:t>
            </w:r>
          </w:p>
        </w:tc>
      </w:tr>
      <w:tr w:rsidR="00C311E2" w:rsidRPr="00C311E2" w:rsidTr="00C311E2">
        <w:trPr>
          <w:trHeight w:val="163"/>
        </w:trPr>
        <w:tc>
          <w:tcPr>
            <w:tcW w:w="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Específico</w:t>
            </w: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Gerir o Parque Novo Mato Grosso.</w:t>
            </w:r>
          </w:p>
        </w:tc>
      </w:tr>
      <w:tr w:rsidR="00C311E2" w:rsidRPr="00C311E2" w:rsidTr="00C311E2">
        <w:trPr>
          <w:trHeight w:val="210"/>
        </w:trPr>
        <w:tc>
          <w:tcPr>
            <w:tcW w:w="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04504 - MT Parques</w:t>
            </w:r>
          </w:p>
        </w:tc>
      </w:tr>
      <w:tr w:rsidR="00C311E2" w:rsidRPr="00C311E2" w:rsidTr="00C311E2">
        <w:trPr>
          <w:trHeight w:val="230"/>
        </w:trPr>
        <w:tc>
          <w:tcPr>
            <w:tcW w:w="75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Recursos da ação</w:t>
            </w:r>
          </w:p>
        </w:tc>
        <w:tc>
          <w:tcPr>
            <w:tcW w:w="6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Fonte de recursos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2024</w:t>
            </w:r>
          </w:p>
        </w:tc>
        <w:tc>
          <w:tcPr>
            <w:tcW w:w="9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2025</w:t>
            </w:r>
          </w:p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2026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2027</w:t>
            </w:r>
          </w:p>
        </w:tc>
      </w:tr>
      <w:tr w:rsidR="00C311E2" w:rsidRPr="00C311E2" w:rsidTr="00C311E2">
        <w:trPr>
          <w:trHeight w:val="23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6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1.500.0000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  <w:tc>
          <w:tcPr>
            <w:tcW w:w="9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</w:tr>
      <w:tr w:rsidR="00C311E2" w:rsidRPr="00C311E2" w:rsidTr="00C311E2">
        <w:trPr>
          <w:trHeight w:val="230"/>
        </w:trPr>
        <w:tc>
          <w:tcPr>
            <w:tcW w:w="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ODS</w:t>
            </w: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Metas</w:t>
            </w:r>
          </w:p>
        </w:tc>
      </w:tr>
      <w:tr w:rsidR="00C311E2" w:rsidRPr="00C311E2" w:rsidTr="00C311E2">
        <w:trPr>
          <w:trHeight w:val="390"/>
        </w:trPr>
        <w:tc>
          <w:tcPr>
            <w:tcW w:w="75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11 - Tornar as cidades e os assentamentos humanos inclusivos, seguros,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resilientes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e sustentáveis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garantir o acesso de todos à moradia digna, adequada e a preço acessível; aos serviços básicos e urbanizar os assentamentos precários de acordo com as metas assumidas no Plano Nacional de Habitação, com especial atenção para grupos em situação de vulnerabilidade.</w:t>
            </w:r>
          </w:p>
        </w:tc>
      </w:tr>
      <w:tr w:rsidR="00C311E2" w:rsidRPr="00C311E2" w:rsidTr="00C311E2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melhorar a segurança viária e o acesso à cidade por meio de sistemas de mobilidade urbana mais sustentáveis, inclusivos, eficientes e justos, priorizando o transporte público de massa e o transporte ativo, com especial atenção para as necessidades das pessoas em situação de vulnerabilidade, como aquelas com deficiência e com mobilidade reduzida, mulheres, crianças e pessoas idosas.</w:t>
            </w:r>
          </w:p>
        </w:tc>
      </w:tr>
      <w:tr w:rsidR="00C311E2" w:rsidRPr="00C311E2" w:rsidTr="00C311E2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aumentar a urbanização inclusiva e sustentável, aprimorar as capacidades para o planejamento, para o controle social e para a gestão participativa, integrada e sustentável dos assentamentos humanos, em todas as unidades da federação.</w:t>
            </w:r>
          </w:p>
        </w:tc>
      </w:tr>
      <w:tr w:rsidR="00C311E2" w:rsidRPr="00C311E2" w:rsidTr="00C311E2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Fortalecer as iniciativas para proteger e salvaguardar o patrimônio natural e cultural do Brasil, incluindo seu patrimônio material e imaterial.</w:t>
            </w:r>
          </w:p>
        </w:tc>
      </w:tr>
      <w:tr w:rsidR="00C311E2" w:rsidRPr="00C311E2" w:rsidTr="00C311E2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Até 2030, reduzir significativamente o número de mortes e o número de pessoas afetadas por desastres naturais de origem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hidrometeorológica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e climatológica, bem como diminuir substancialmente o número de pessoas residentes em áreas de risco e as perdas econômicas diretas causadas por esses desastres em relação ao produto interno bruto, com especial atenção na proteção de pessoas de baixa renda e em situação de vulnerabilidade</w:t>
            </w:r>
          </w:p>
        </w:tc>
      </w:tr>
      <w:tr w:rsidR="00C311E2" w:rsidRPr="00C311E2" w:rsidTr="00C311E2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reduzir o impacto ambiental negativo per capita das cidades, melhorando os índices de qualidade do ar e a gestão de resíduos sólidos; e garantir que todas as cidades com acima de 500 mil habitantes tenham implementado sistemas de monitoramento de qualidade do ar e planos de gerenciamento de resíduos sólidos.</w:t>
            </w:r>
          </w:p>
        </w:tc>
      </w:tr>
      <w:tr w:rsidR="00C311E2" w:rsidRPr="00C311E2" w:rsidTr="00C311E2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proporcionar o acesso universal a espaços públicos seguros, inclusivos, acessíveis e verdes, em particular para as mulheres, crianças e adolescentes, pessoas idosas e pessoas com deficiência, e demais grupos em situação de vulnerabilidade.</w:t>
            </w:r>
          </w:p>
        </w:tc>
      </w:tr>
      <w:tr w:rsidR="00C311E2" w:rsidRPr="00C311E2" w:rsidTr="00C311E2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Apoiar a integração econômica, social e ambiental em áreas metropolitanas e entre áreas urbanas,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periurbanas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, rurais e cidades gêmeas, considerando territórios de povos e comunidades tradicionais, por meio da cooperação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interfederativa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, reforçando o planejamento nacional, regional e local de desenvolvimento.</w:t>
            </w:r>
          </w:p>
        </w:tc>
      </w:tr>
      <w:tr w:rsidR="00C311E2" w:rsidRPr="00C311E2" w:rsidTr="00C311E2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aumentar significativamente o número de cidades que possuem políticas e planos desenvolvidos e implementados para mitigação, adaptação e resiliência a mudanças climáticas e gestão integrada de riscos de desastres de acordo com o Marco de SENDAI.</w:t>
            </w:r>
          </w:p>
        </w:tc>
      </w:tr>
      <w:tr w:rsidR="00C311E2" w:rsidRPr="00C311E2" w:rsidTr="00C311E2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Apoiar os países menos desenvolvidos, inclusive por meio de assistência técnica e financeira, para construções sustentáveis e robustas, priorizando recursos locais.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C311E2" w:rsidRPr="00C311E2" w:rsidTr="00C311E2">
        <w:trPr>
          <w:trHeight w:val="230"/>
        </w:trPr>
        <w:tc>
          <w:tcPr>
            <w:tcW w:w="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Público Alvo Transversal</w:t>
            </w: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C311E2" w:rsidRPr="00C311E2" w:rsidTr="00C311E2">
        <w:trPr>
          <w:trHeight w:val="230"/>
        </w:trPr>
        <w:tc>
          <w:tcPr>
            <w:tcW w:w="125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Produto/Unidade de Medida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Região de Planejamento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2024</w:t>
            </w:r>
          </w:p>
        </w:tc>
        <w:tc>
          <w:tcPr>
            <w:tcW w:w="7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2025</w:t>
            </w:r>
          </w:p>
        </w:tc>
        <w:tc>
          <w:tcPr>
            <w:tcW w:w="7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2026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2027</w:t>
            </w:r>
          </w:p>
        </w:tc>
      </w:tr>
      <w:tr w:rsidR="00C311E2" w:rsidRPr="00C311E2" w:rsidTr="00C311E2">
        <w:trPr>
          <w:trHeight w:val="348"/>
        </w:trPr>
        <w:tc>
          <w:tcPr>
            <w:tcW w:w="125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0189 - Infraestrutura mantida (Percentual)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ESTADO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  <w:tc>
          <w:tcPr>
            <w:tcW w:w="7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  <w:tc>
          <w:tcPr>
            <w:tcW w:w="7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</w:tr>
      <w:tr w:rsidR="00C311E2" w:rsidRPr="00C311E2" w:rsidTr="00C311E2"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11E2" w:rsidRPr="00C311E2" w:rsidRDefault="00C311E2" w:rsidP="00C31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II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ALTERAÇÃO DE PROGRAMA DE GOVERNO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6684"/>
      </w:tblGrid>
      <w:tr w:rsidR="00C311E2" w:rsidRPr="00C311E2" w:rsidTr="00C311E2">
        <w:trPr>
          <w:trHeight w:val="492"/>
        </w:trPr>
        <w:tc>
          <w:tcPr>
            <w:tcW w:w="10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</w:t>
            </w:r>
          </w:p>
        </w:tc>
        <w:tc>
          <w:tcPr>
            <w:tcW w:w="39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511 - Modernização da Gestão Fiscal</w:t>
            </w:r>
          </w:p>
        </w:tc>
      </w:tr>
      <w:tr w:rsidR="00C311E2" w:rsidRPr="00C311E2" w:rsidTr="00C311E2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16101 - Secretaria de Estado de Fazenda</w:t>
            </w:r>
          </w:p>
        </w:tc>
      </w:tr>
      <w:tr w:rsidR="00C311E2" w:rsidRPr="00C311E2" w:rsidTr="00C311E2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Alteração</w:t>
            </w:r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 valor orçamentário previsto para o Programa de Governo, que passará ter o valor total previsto para o: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2024: R$ 185.895.447,50;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2025: R$ 229.917.649,67;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2026: R$ 259.895.558,68.</w:t>
            </w:r>
          </w:p>
        </w:tc>
      </w:tr>
      <w:tr w:rsidR="00C311E2" w:rsidRPr="00C311E2" w:rsidTr="00C311E2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Justificativa</w:t>
            </w:r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Para atender integralmente a Emenda Parlamentar nº 44 apresentada durante a tramitação do Projeto de Lei nº 1758/2023 que dispõe sobre o Plano Plurianual-PPA 2024-2027.</w:t>
            </w:r>
          </w:p>
        </w:tc>
      </w:tr>
    </w:tbl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6684"/>
      </w:tblGrid>
      <w:tr w:rsidR="00C311E2" w:rsidRPr="00C311E2" w:rsidTr="00C311E2">
        <w:trPr>
          <w:trHeight w:val="492"/>
        </w:trPr>
        <w:tc>
          <w:tcPr>
            <w:tcW w:w="10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</w:t>
            </w:r>
          </w:p>
        </w:tc>
        <w:tc>
          <w:tcPr>
            <w:tcW w:w="39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338 - Infraestrutura e logística</w:t>
            </w:r>
          </w:p>
        </w:tc>
      </w:tr>
      <w:tr w:rsidR="00C311E2" w:rsidRPr="00C311E2" w:rsidTr="00C311E2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25101 - Secretaria de Estado de Infraestrutura e Logística</w:t>
            </w:r>
          </w:p>
        </w:tc>
      </w:tr>
      <w:tr w:rsidR="00C311E2" w:rsidRPr="00C311E2" w:rsidTr="00C311E2">
        <w:trPr>
          <w:trHeight w:val="1433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Alteração</w:t>
            </w:r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 valor orçamentário previsto para o Programa de Governo, que passará ter o valor total previsto para o: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2024: R$ 2.249.230.187,36;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2025: R$ 2.451.029.422,57;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2026: R$ 2.469.677.636,13.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C311E2" w:rsidRPr="00C311E2" w:rsidTr="00C311E2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Justificativa</w:t>
            </w:r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Para atender integralmente a Emenda Parlamentar n. 44 apresentada durante a tramitação do Projeto de Lei nº 1758/2023 que dispõe sobre o Plano Plurianual-PPA 2024-2027.</w:t>
            </w:r>
          </w:p>
        </w:tc>
      </w:tr>
    </w:tbl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III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ALTERAÇÃO DE INDICADOR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6684"/>
      </w:tblGrid>
      <w:tr w:rsidR="00C311E2" w:rsidRPr="00C311E2" w:rsidTr="00C311E2">
        <w:trPr>
          <w:trHeight w:val="492"/>
        </w:trPr>
        <w:tc>
          <w:tcPr>
            <w:tcW w:w="10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</w:t>
            </w:r>
          </w:p>
        </w:tc>
        <w:tc>
          <w:tcPr>
            <w:tcW w:w="39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500 - Gestão de políticas públicas</w:t>
            </w:r>
          </w:p>
        </w:tc>
      </w:tr>
      <w:tr w:rsidR="00C311E2" w:rsidRPr="00C311E2" w:rsidTr="00C311E2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11101 - Secretaria de Estado de Planejamento e Gestão</w:t>
            </w:r>
          </w:p>
        </w:tc>
      </w:tr>
      <w:tr w:rsidR="00C311E2" w:rsidRPr="00C311E2" w:rsidTr="00C311E2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de programa</w:t>
            </w:r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195 - Implementar e fortalecer o modelo de governança para resultados no Estado de Mato Grosso </w:t>
            </w:r>
          </w:p>
        </w:tc>
      </w:tr>
      <w:tr w:rsidR="00C311E2" w:rsidRPr="00C311E2" w:rsidTr="00C311E2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Indicador</w:t>
            </w:r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700 - Índice de Governança Pública de Mato Grosso - Gestão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Gov</w:t>
            </w:r>
            <w:proofErr w:type="spellEnd"/>
          </w:p>
        </w:tc>
      </w:tr>
      <w:tr w:rsidR="00C311E2" w:rsidRPr="00C311E2" w:rsidTr="00C311E2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Alteração</w:t>
            </w:r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Altera a periodicidade da apuração para </w:t>
            </w:r>
            <w:proofErr w:type="gram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bianual  do</w:t>
            </w:r>
            <w:proofErr w:type="gram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indicador “Índice de Governança Pública de Mato Grosso - Gestão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Gov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(Percentual)” e, consequentemente, ajusta suas metas nos anos de ocorrência, que passarão a ser: 65 % para o ano de 2025 e 70% para o ano de 2027.</w:t>
            </w:r>
          </w:p>
        </w:tc>
      </w:tr>
      <w:tr w:rsidR="00C311E2" w:rsidRPr="00C311E2" w:rsidTr="00C311E2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Justificativa</w:t>
            </w:r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A alteração proposta não acarretará mudanças no objetivo do indicador, fórmula de cálculo ou metas estabelecidas. Haverá apenas o deslocamento de sua apuração para os anos seguintes ao informado no PPA 2024-2027, cujas apurações estão para os anos de 2024 e 2026. Porém, para manter a coerência com a alteração promovida pelo Governo Federal, que através da PORTARIA SEGES/MGI Nº 7.383, DE 21 DE </w:t>
            </w: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NOVEMBRO DE 2023 que institui o Modelo de Governança e Gestão Pública - Gestaopublicagov.br, alterou a periodicidade de sua apuração, passando de 18 meses para 24 meses. Com isso, devemos também alterar os anos de ocorrência da apuração do indicador nº 700 para 2025 e 2027.</w:t>
            </w:r>
          </w:p>
        </w:tc>
      </w:tr>
    </w:tbl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lastRenderedPageBreak/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IV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ALTERAÇÃO DE AÇÕES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4"/>
        <w:gridCol w:w="6770"/>
      </w:tblGrid>
      <w:tr w:rsidR="00C311E2" w:rsidRPr="00C311E2" w:rsidTr="00C311E2">
        <w:trPr>
          <w:trHeight w:val="492"/>
        </w:trPr>
        <w:tc>
          <w:tcPr>
            <w:tcW w:w="1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</w:t>
            </w:r>
          </w:p>
        </w:tc>
        <w:tc>
          <w:tcPr>
            <w:tcW w:w="39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338 - Infraestrutura e logística</w:t>
            </w:r>
          </w:p>
        </w:tc>
      </w:tr>
      <w:tr w:rsidR="00C311E2" w:rsidRPr="00C311E2" w:rsidTr="00C311E2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25101 - Secretaria de Estado de Infraestrutura e Logística</w:t>
            </w:r>
          </w:p>
        </w:tc>
      </w:tr>
      <w:tr w:rsidR="00C311E2" w:rsidRPr="00C311E2" w:rsidTr="00C311E2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Ação</w:t>
            </w:r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1287-Pavimentação de rodovias</w:t>
            </w:r>
          </w:p>
        </w:tc>
      </w:tr>
      <w:tr w:rsidR="00C311E2" w:rsidRPr="00C311E2" w:rsidTr="00C311E2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Alteração</w:t>
            </w:r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 a meta do produto “Trecho pavimentado”: de 650 (km), para 655 (km).</w:t>
            </w:r>
          </w:p>
        </w:tc>
      </w:tr>
      <w:tr w:rsidR="00C311E2" w:rsidRPr="00C311E2" w:rsidTr="00C311E2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Justificativa</w:t>
            </w:r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Para atender à Emenda Parlamentar n. 37.</w:t>
            </w:r>
          </w:p>
        </w:tc>
      </w:tr>
    </w:tbl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4"/>
        <w:gridCol w:w="6770"/>
      </w:tblGrid>
      <w:tr w:rsidR="00C311E2" w:rsidRPr="00C311E2" w:rsidTr="00C311E2">
        <w:trPr>
          <w:trHeight w:val="492"/>
        </w:trPr>
        <w:tc>
          <w:tcPr>
            <w:tcW w:w="1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</w:t>
            </w:r>
          </w:p>
        </w:tc>
        <w:tc>
          <w:tcPr>
            <w:tcW w:w="39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519 - Segurança proativa e inteligente</w:t>
            </w:r>
          </w:p>
        </w:tc>
      </w:tr>
      <w:tr w:rsidR="00C311E2" w:rsidRPr="00C311E2" w:rsidTr="00C311E2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19101-Secretaria de Segurança Pública</w:t>
            </w:r>
          </w:p>
        </w:tc>
      </w:tr>
      <w:tr w:rsidR="00C311E2" w:rsidRPr="00C311E2" w:rsidTr="00C311E2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Ação</w:t>
            </w:r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2735 - Prestação dos serviços de perícia oficial e da identificação</w:t>
            </w:r>
          </w:p>
        </w:tc>
      </w:tr>
      <w:tr w:rsidR="00C311E2" w:rsidRPr="00C311E2" w:rsidTr="00C311E2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Alteração</w:t>
            </w:r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 os valores orçamentários previstos para ação para os exercícios de 2025 e 2026, na Fonte de Recursos 1.500.0000, que passam a ser: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2025: R$ 9.131.600,00;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2026: R$ 10.053.201,00.</w:t>
            </w:r>
          </w:p>
        </w:tc>
      </w:tr>
      <w:tr w:rsidR="00C311E2" w:rsidRPr="00C311E2" w:rsidTr="00C311E2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Para atender integralmente a Emenda Parlamentar n. 44 apresentada durante a tramitação do Projeto de Lei nº 1758/2023 (dispõe sobre o Plano Plurianual-PPA 2024-2027), equivocadamente a referida Emenda foi contemplada apenas parcialmente no PPA 2024-2027, ou seja, apenas no ano 2024 em alinhamento ao Projeto da LOA 2024, sendo assim, neste momento será incluído o valor orçamentário da Fonte de Recursos 1.500.0000, nos exercícios de 2025 e 2026, conforme Emenda.</w:t>
            </w:r>
          </w:p>
        </w:tc>
      </w:tr>
    </w:tbl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4"/>
        <w:gridCol w:w="6770"/>
      </w:tblGrid>
      <w:tr w:rsidR="00C311E2" w:rsidRPr="00C311E2" w:rsidTr="00C311E2">
        <w:trPr>
          <w:trHeight w:val="492"/>
        </w:trPr>
        <w:tc>
          <w:tcPr>
            <w:tcW w:w="1000" w:type="pc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</w:t>
            </w:r>
          </w:p>
        </w:tc>
        <w:tc>
          <w:tcPr>
            <w:tcW w:w="3950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526 - Mato Grosso Mais Saúde</w:t>
            </w:r>
          </w:p>
        </w:tc>
      </w:tr>
      <w:tr w:rsidR="00C311E2" w:rsidRPr="00C311E2" w:rsidTr="00C311E2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21601 - Secretaria de Estado de Saúde de Mato Grosso.</w:t>
            </w:r>
          </w:p>
        </w:tc>
      </w:tr>
      <w:tr w:rsidR="00C311E2" w:rsidRPr="00C311E2" w:rsidTr="00C311E2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Ação</w:t>
            </w:r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Ação 2728 - Gestão dos serviços de saúde, ambulatorial e hospitalar</w:t>
            </w:r>
          </w:p>
        </w:tc>
      </w:tr>
      <w:tr w:rsidR="00C311E2" w:rsidRPr="00C311E2" w:rsidTr="00C311E2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Alteração</w:t>
            </w:r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Anula os valores orçamentários provenientes da Fonte de Recursos 1.500.1002, para os exercícios de 2025, 2026 e 2027, desta forma os valores orçamentários previstos para a ação desta Fonte de Recursos passam a ser: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2025: R$ 310.098.589,60;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2026: R$ 328.835.073,06;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2027: R</w:t>
            </w:r>
            <w:proofErr w:type="gram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$  371.000.000</w:t>
            </w:r>
            <w:proofErr w:type="gram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,00.</w:t>
            </w:r>
          </w:p>
        </w:tc>
      </w:tr>
      <w:tr w:rsidR="00C311E2" w:rsidRPr="00C311E2" w:rsidTr="00C311E2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Justificativa</w:t>
            </w:r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Para atender integralmente a Emenda Parlamentar n. 42 apresentada durante a tramitação do Projeto de Lei nº 1758/2023 (dispõe sobre o Plano Plurianual-PPA 2024-2027), equivocadamente a referida Emenda foi contemplada apenas parcialmente no PPA 2024-2027 na ação 4522, ou seja, a anulação foi contemplada </w:t>
            </w:r>
            <w:proofErr w:type="gram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apenas  no</w:t>
            </w:r>
            <w:proofErr w:type="gram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ano 2024 em alinhamento ao Projeto da LOA 2024.</w:t>
            </w:r>
          </w:p>
        </w:tc>
      </w:tr>
    </w:tbl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9"/>
        <w:gridCol w:w="6855"/>
      </w:tblGrid>
      <w:tr w:rsidR="00C311E2" w:rsidRPr="00C311E2" w:rsidTr="00C311E2">
        <w:trPr>
          <w:trHeight w:val="615"/>
        </w:trPr>
        <w:tc>
          <w:tcPr>
            <w:tcW w:w="950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 de Governo</w:t>
            </w:r>
          </w:p>
        </w:tc>
        <w:tc>
          <w:tcPr>
            <w:tcW w:w="40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526 - Mato Grosso Mais Saúde</w:t>
            </w:r>
          </w:p>
        </w:tc>
      </w:tr>
      <w:tr w:rsidR="00C311E2" w:rsidRPr="00C311E2" w:rsidTr="00C311E2">
        <w:trPr>
          <w:trHeight w:val="507"/>
        </w:trPr>
        <w:tc>
          <w:tcPr>
            <w:tcW w:w="950" w:type="pc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Ação</w:t>
            </w:r>
          </w:p>
        </w:tc>
        <w:tc>
          <w:tcPr>
            <w:tcW w:w="4000" w:type="pc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4522 - Atenção especializada em saúde mental</w:t>
            </w:r>
          </w:p>
        </w:tc>
      </w:tr>
      <w:tr w:rsidR="00C311E2" w:rsidRPr="00C311E2" w:rsidTr="00C311E2">
        <w:trPr>
          <w:trHeight w:val="627"/>
        </w:trPr>
        <w:tc>
          <w:tcPr>
            <w:tcW w:w="950" w:type="pc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</w:p>
        </w:tc>
        <w:tc>
          <w:tcPr>
            <w:tcW w:w="4000" w:type="pc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21601 - Secretaria de Estado de Saúde de Mato Grosso.</w:t>
            </w:r>
          </w:p>
        </w:tc>
      </w:tr>
      <w:tr w:rsidR="00C311E2" w:rsidRPr="00C311E2" w:rsidTr="00C311E2">
        <w:trPr>
          <w:trHeight w:val="1128"/>
        </w:trPr>
        <w:tc>
          <w:tcPr>
            <w:tcW w:w="950" w:type="pc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Descrição da alteração</w:t>
            </w:r>
          </w:p>
        </w:tc>
        <w:tc>
          <w:tcPr>
            <w:tcW w:w="4000" w:type="pc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 o nome do Produto de “Atendimento realizado” para “Município apoiado”, que terá as seguintes metas para o “Estado”:  52 unidades para o ano de 2024; 54 unidades para o ano de 2025; 59 unidades para o ano de 2026 e; 70 unidades para o ano de 2027.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Inclui outros Públicos-alvo da Ação, desta forma, ao total são: Sociedade, Mulheres, Homens, Crianças e Adolescentes, Comunidades Tradicionais/Quilombolas.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Inclui os valores orçamentários nos exercícios 2025, 2026 e 2027, que será: Exercício 2025: R$ 20.000.000,00; Exercício 2026: R$ 23.000.000,00; Exercício 2027: R$ 25.000.000,00, todos provenientes da Fonte de Recursos 1.500.1002.</w:t>
            </w:r>
          </w:p>
        </w:tc>
      </w:tr>
      <w:tr w:rsidR="00C311E2" w:rsidRPr="00C311E2" w:rsidTr="00C311E2">
        <w:trPr>
          <w:trHeight w:val="1410"/>
        </w:trPr>
        <w:tc>
          <w:tcPr>
            <w:tcW w:w="950" w:type="pc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Justificativa</w:t>
            </w:r>
          </w:p>
        </w:tc>
        <w:tc>
          <w:tcPr>
            <w:tcW w:w="4000" w:type="pc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hideMark/>
          </w:tcPr>
          <w:p w:rsidR="00C311E2" w:rsidRPr="00C311E2" w:rsidRDefault="00C311E2" w:rsidP="00C311E2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Para atender integralmente a Emenda Parlamentar n. 42 na mensagem 126/2023 apresentada durante a tramitação do Projeto de Lei nº 1758/2023 (dispõe sobre o Plano Plurianual-PPA 2024-2027), equivocadamente a referida Emenda foi contemplada apenas parcialmente no PPA 2024-2027.</w:t>
            </w:r>
          </w:p>
        </w:tc>
      </w:tr>
    </w:tbl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V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bookmarkStart w:id="0" w:name="_GoBack"/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ALTERAÇÃO DO PLANO ESTRATÉGICO DO GOVERNO DO ESTADO DE MATO GROSSO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O Planejamento Estratégico do Governo do Estado de Mato Grosso foi construído durante o processo de elaboração do Plano Plurianual-PPA 2024-2027, sendo considerado o alicerce do PPA, orientou as políticas públicas de médio prazo do Estado e, consequentemente, o orçamento para os próximos anos.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As alterações nesta Lei buscam o alinhamento com as competências definidas para o Poder Executivo do Estado de Mato Grosso, o alinhamento com as diretrizes voltadas ao desenvolvimento econômico e social do Estado, conforme Lei Complementar nº 612, de 28 de janeiro de 2019, e também buscam viabilizar os objetivos debatidos no âmbito do Fórum Mato-grossense de Desenvolvimento Regional, conforme Lei nº 11.519 de 06 de outubro de 2021, visando o desenvolvimento regional, as parcerias regionais, a redução das desigualdades regionais e a promoção de políticas públicas regionais mais coerentes no âmbito social e econômico.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Neste sentido, o primeiro ajuste no Plano Estratégico ocorre na apresentação dos seus resultados consolidados, mais especificamente, na declaração das diretrizes gerais que norteiam a atuação estatal, através da adaptação do item VI conforme detalhado abaixo:</w:t>
      </w:r>
    </w:p>
    <w:p w:rsidR="00C311E2" w:rsidRPr="00C311E2" w:rsidRDefault="00C311E2" w:rsidP="00C311E2">
      <w:pPr>
        <w:spacing w:after="0" w:line="240" w:lineRule="auto"/>
        <w:ind w:left="665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●    </w:t>
      </w: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Redação na lei original do PPA (Lei nº 12.432, de 09 de fevereiro de 2024):</w:t>
      </w: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 Transversalidade e </w:t>
      </w:r>
      <w:proofErr w:type="spellStart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intersetorialidade</w:t>
      </w:r>
      <w:proofErr w:type="spellEnd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 das políticas públicas;</w:t>
      </w:r>
    </w:p>
    <w:p w:rsidR="00C311E2" w:rsidRPr="00C311E2" w:rsidRDefault="00C311E2" w:rsidP="00C311E2">
      <w:pPr>
        <w:spacing w:after="0" w:line="240" w:lineRule="auto"/>
        <w:ind w:left="665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●    </w:t>
      </w: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Redação na lei de alteração do PPA:</w:t>
      </w: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 Transversalidade, </w:t>
      </w:r>
      <w:proofErr w:type="spellStart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intersetorialidade</w:t>
      </w:r>
      <w:proofErr w:type="spellEnd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 e regionalismo das políticas públicas.</w:t>
      </w:r>
    </w:p>
    <w:p w:rsidR="00C311E2" w:rsidRPr="00C311E2" w:rsidRDefault="00C311E2" w:rsidP="00C311E2">
      <w:pPr>
        <w:spacing w:after="0" w:line="240" w:lineRule="auto"/>
        <w:ind w:left="665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A inserção da questão regional, no âmbito do planejamento estratégico, pode ser melhor visualizada no Mapa da Estratégia 2024-2027, apresentado a seguir.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Mapa da Estratégia do Governo do Estado de Mato Grosso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noProof/>
          <w:color w:val="000000"/>
          <w:sz w:val="16"/>
          <w:szCs w:val="16"/>
          <w:shd w:val="clear" w:color="auto" w:fill="FFFFFF"/>
          <w:lang w:eastAsia="pt-BR"/>
        </w:rPr>
        <w:lastRenderedPageBreak/>
        <w:drawing>
          <wp:inline distT="0" distB="0" distL="0" distR="0" wp14:anchorId="643F8EAC" wp14:editId="67E17004">
            <wp:extent cx="4829175" cy="6210300"/>
            <wp:effectExtent l="0" t="0" r="9525" b="0"/>
            <wp:docPr id="1" name="image9.png" descr="https://www.iomat.mt.gov.br/apifront/portal/materia_imagens/imagem/410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 descr="https://www.iomat.mt.gov.br/apifront/portal/materia_imagens/imagem/41094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621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Fonte:</w:t>
      </w: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SEPLAG.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Outra alteração relevante no Plano Estratégico ocorre no momento do desdobramento da estratégia em seus respectivos eixos. Ressalta-se que os eixos estratégicos organizam a estratégia de Governo agregando as políticas públicas priorizadas para o quadriênio a partir de resultados afins, visando orientar a atuação da Administração Pública e o alcance da visão de futuro.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Conforme Lei nº 12.432, de 09 de fevereiro de 2024, o Plano Estratégico do Governo do Estado de Mato Grosso foi estruturado com base em seis eixos estratégicos: Social, Econômico, Ambiental, Infraestrutura, </w:t>
      </w:r>
      <w:proofErr w:type="gramStart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Digital e Institucional</w:t>
      </w:r>
      <w:proofErr w:type="gramEnd"/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, cada um é formado por um conjunto de objetivos estratégicos e seus respectivos indicadores, que no âmbito do PPA são desdobrados em programas, objetivos de programas, indicadores e ações.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Sendo assim, o tema “desenvolvimento regional” foi também incluído na etapa de desdobramento do Plano Estratégico, da seguinte forma: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●    </w:t>
      </w: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Contextualização do Eixo na lei original do PPA (Lei nº 12.432, de 09 de fevereiro de 2024):</w:t>
      </w: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o Eixo Institucional considera as ações voltadas para organização do próprio Estado, de forma a promover uma administração pública transparente, participativa, eficiente e eficaz, com resultados efetivos para a sociedade mato-grossense e com o equilíbrio fiscal necessário.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●    </w:t>
      </w: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Contextualização do Eixo na lei de alteração do PPA:</w:t>
      </w: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 o Eixo Institucional considera as ações voltadas para organização do próprio Estado, de forma a promover uma administração pública transparente, participativa, eficiente e </w:t>
      </w: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lastRenderedPageBreak/>
        <w:t>eficaz, com resultados efetivos para a sociedade mato-grossense, de forma regionalizada e com o equilíbrio fiscal necessário.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●    </w:t>
      </w: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Inclusão de nova diretriz no Eixo Institucional a partir da lei de alteração do PPA:</w:t>
      </w: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promover o desenvolvimento regional, através de políticas específicas.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noProof/>
          <w:color w:val="000000"/>
          <w:sz w:val="16"/>
          <w:szCs w:val="16"/>
          <w:shd w:val="clear" w:color="auto" w:fill="FFFFFF"/>
          <w:lang w:eastAsia="pt-BR"/>
        </w:rPr>
        <w:drawing>
          <wp:inline distT="0" distB="0" distL="0" distR="0" wp14:anchorId="75513D10" wp14:editId="55E253C1">
            <wp:extent cx="5181600" cy="4991100"/>
            <wp:effectExtent l="0" t="0" r="0" b="0"/>
            <wp:docPr id="2" name="image13.png" descr="https://www.iomat.mt.gov.br/apifront/portal/materia_imagens/imagem/410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 descr="https://www.iomat.mt.gov.br/apifront/portal/materia_imagens/imagem/41094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499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Resultados consolidados do Eixo Institucional no Plano Estratégico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Fonte: SEPLAG.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VI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ALTERAÇÃO NO ANEXO DE METAS E PRIORIDADES DA ADMINISTRAÇÃO PÚBLICA ESTADUAL PARA O EXERCÍCIO DE 2024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O Anexo de Metas e Prioridades - AMP da Administração Pública Estadual é elaborado anualmente pelo Poder Executivo e compõe a Lei de Diretrizes Orçamentárias - LDO em atendimento ao §2º do art. 162 da Constituição Estadual de Mato Grosso, que dispõe que a LDO deve estabelecer as metas e prioridades para o exercício subsequente. Neste contexto, deve ser apontado dentro do universo de ações contempladas no PPA aquelas que terão prioridade na alocação de recursos da Lei Orçamentária Anual - LOA e, consequentemente, na execução orçamentária para o próximo exercício.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Excepcionalmente no primeiro exercício do PPA, em cumprimento ao disposto no § 9º do art. 164 da Constituição Estadual de 1989, o AMP deve compor o Projeto de Lei do PPA, já nos anos seguintes ele comporá normalmente a LDO.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Neste sentido, no exercício de 2024, as informações do AMP foram apresentadas na Lei nº 12.432, de 09 de fevereiro de 2024, que dispõe sobre o PPA 2024-2027, porém, por conterem erro material em sua consolidação, precisam ser atualizadas para inserção de informações de algumas metas de produtos que foram regionalizadas no sistema FIPLAN e não foram consideradas no Anexo anteriormente.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Desta forma os quadros anteriores foram substituídos por um quadro único (quadro 01 abaixo), contemplando as ações priorizadas para o exercício de 2024, com as metas das regiões de planejamento totalizadas por produtos, sendo as mesmas detalhadas por Eixo, Objetivo Estratégico, Programa de Governo e Unidade Setorial responsável. Ressalta-se ainda que as informações aqui apresentadas consideram as Emendas Parlamentares não vetadas, conforme Mensagem de Veto publicada em 09/02/2024 e conforme observações no final do quadro.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lastRenderedPageBreak/>
        <w:t>A revisão e o ajuste das metas prioritárias, conforme quadro 01 abaixo, é imprescindível para realização correta do processo de Monitoramento das Prioridades, conforme Lei de Diretrizes Orçamentárias - LDO 2024 (Lei nº 12.299, de 24 de outubro de 2023, art. 100), bem como para viabilizar as apresentações semestrais à Comissão Permanente de Fiscalização e Acompanhamento da Execução Orçamentária da Assembleia Legislativa do Estado de Mato Grosso, onde em audiência pública são discutidos os resultados provenientes da execução das metas físicas das ações prioritárias.</w:t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Quadro 01 - Anexo de Metas e Prioridades para 2024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noProof/>
          <w:color w:val="000000"/>
          <w:sz w:val="16"/>
          <w:szCs w:val="16"/>
          <w:shd w:val="clear" w:color="auto" w:fill="FFFFFF"/>
          <w:lang w:eastAsia="pt-BR"/>
        </w:rPr>
        <w:drawing>
          <wp:inline distT="0" distB="0" distL="0" distR="0" wp14:anchorId="48A0942F" wp14:editId="5A0C2176">
            <wp:extent cx="5591175" cy="7029450"/>
            <wp:effectExtent l="0" t="0" r="9525" b="0"/>
            <wp:docPr id="3" name="image8.png" descr="https://www.iomat.mt.gov.br/apifront/portal/materia_imagens/imagem/410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https://www.iomat.mt.gov.br/apifront/portal/materia_imagens/imagem/41094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noProof/>
          <w:color w:val="000000"/>
          <w:sz w:val="16"/>
          <w:szCs w:val="16"/>
          <w:shd w:val="clear" w:color="auto" w:fill="FFFFFF"/>
          <w:lang w:eastAsia="pt-BR"/>
        </w:rPr>
        <w:lastRenderedPageBreak/>
        <w:drawing>
          <wp:inline distT="0" distB="0" distL="0" distR="0" wp14:anchorId="5361B533" wp14:editId="6B8AB3E2">
            <wp:extent cx="5591175" cy="7820025"/>
            <wp:effectExtent l="0" t="0" r="9525" b="9525"/>
            <wp:docPr id="4" name="image3.png" descr="https://www.iomat.mt.gov.br/apifront/portal/materia_imagens/imagem/410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https://www.iomat.mt.gov.br/apifront/portal/materia_imagens/imagem/41094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782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noProof/>
          <w:color w:val="000000"/>
          <w:sz w:val="16"/>
          <w:szCs w:val="16"/>
          <w:shd w:val="clear" w:color="auto" w:fill="FFFFFF"/>
          <w:lang w:eastAsia="pt-BR"/>
        </w:rPr>
        <w:lastRenderedPageBreak/>
        <w:drawing>
          <wp:inline distT="0" distB="0" distL="0" distR="0" wp14:anchorId="66715578" wp14:editId="2EDA4A8E">
            <wp:extent cx="5905500" cy="7381875"/>
            <wp:effectExtent l="0" t="0" r="0" b="9525"/>
            <wp:docPr id="5" name="image10.png" descr="https://www.iomat.mt.gov.br/apifront/portal/materia_imagens/imagem/410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 descr="https://www.iomat.mt.gov.br/apifront/portal/materia_imagens/imagem/41094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738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noProof/>
          <w:color w:val="000000"/>
          <w:sz w:val="16"/>
          <w:szCs w:val="16"/>
          <w:shd w:val="clear" w:color="auto" w:fill="FFFFFF"/>
          <w:lang w:eastAsia="pt-BR"/>
        </w:rPr>
        <w:lastRenderedPageBreak/>
        <w:drawing>
          <wp:inline distT="0" distB="0" distL="0" distR="0" wp14:anchorId="24E8C4AC" wp14:editId="7FFCC6AD">
            <wp:extent cx="5934075" cy="6962775"/>
            <wp:effectExtent l="0" t="0" r="9525" b="9525"/>
            <wp:docPr id="6" name="image5.png" descr="https://www.iomat.mt.gov.br/apifront/portal/materia_imagens/imagem/410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https://www.iomat.mt.gov.br/apifront/portal/materia_imagens/imagem/41094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96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noProof/>
          <w:color w:val="000000"/>
          <w:sz w:val="16"/>
          <w:szCs w:val="16"/>
          <w:shd w:val="clear" w:color="auto" w:fill="FFFFFF"/>
          <w:lang w:eastAsia="pt-BR"/>
        </w:rPr>
        <w:lastRenderedPageBreak/>
        <w:drawing>
          <wp:inline distT="0" distB="0" distL="0" distR="0" wp14:anchorId="10CDB96D" wp14:editId="5999D685">
            <wp:extent cx="5819775" cy="7210425"/>
            <wp:effectExtent l="0" t="0" r="9525" b="9525"/>
            <wp:docPr id="7" name="image6.png" descr="https://www.iomat.mt.gov.br/apifront/portal/materia_imagens/imagem/410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https://www.iomat.mt.gov.br/apifront/portal/materia_imagens/imagem/41094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721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noProof/>
          <w:color w:val="000000"/>
          <w:sz w:val="16"/>
          <w:szCs w:val="16"/>
          <w:shd w:val="clear" w:color="auto" w:fill="FFFFFF"/>
          <w:lang w:eastAsia="pt-BR"/>
        </w:rPr>
        <w:lastRenderedPageBreak/>
        <w:drawing>
          <wp:inline distT="0" distB="0" distL="0" distR="0" wp14:anchorId="3F4F5441" wp14:editId="32921203">
            <wp:extent cx="5791200" cy="7734300"/>
            <wp:effectExtent l="0" t="0" r="0" b="0"/>
            <wp:docPr id="8" name="image12.png" descr="https://www.iomat.mt.gov.br/apifront/portal/materia_imagens/imagem/410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 descr="https://www.iomat.mt.gov.br/apifront/portal/materia_imagens/imagem/41094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773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noProof/>
          <w:color w:val="000000"/>
          <w:sz w:val="16"/>
          <w:szCs w:val="16"/>
          <w:shd w:val="clear" w:color="auto" w:fill="FFFFFF"/>
          <w:lang w:eastAsia="pt-BR"/>
        </w:rPr>
        <w:lastRenderedPageBreak/>
        <w:drawing>
          <wp:inline distT="0" distB="0" distL="0" distR="0" wp14:anchorId="61600A4B" wp14:editId="12F97544">
            <wp:extent cx="5743575" cy="7229475"/>
            <wp:effectExtent l="0" t="0" r="9525" b="9525"/>
            <wp:docPr id="9" name="image14.png" descr="https://www.iomat.mt.gov.br/apifront/portal/materia_imagens/imagem/410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 descr="https://www.iomat.mt.gov.br/apifront/portal/materia_imagens/imagem/41095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722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noProof/>
          <w:color w:val="000000"/>
          <w:sz w:val="16"/>
          <w:szCs w:val="16"/>
          <w:shd w:val="clear" w:color="auto" w:fill="FFFFFF"/>
          <w:lang w:eastAsia="pt-BR"/>
        </w:rPr>
        <w:lastRenderedPageBreak/>
        <w:drawing>
          <wp:inline distT="0" distB="0" distL="0" distR="0" wp14:anchorId="3C77C06E" wp14:editId="06A8C3F3">
            <wp:extent cx="5848350" cy="7505700"/>
            <wp:effectExtent l="0" t="0" r="0" b="0"/>
            <wp:docPr id="10" name="image7.png" descr="https://www.iomat.mt.gov.br/apifront/portal/materia_imagens/imagem/410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https://www.iomat.mt.gov.br/apifront/portal/materia_imagens/imagem/41095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750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noProof/>
          <w:color w:val="000000"/>
          <w:sz w:val="16"/>
          <w:szCs w:val="16"/>
          <w:shd w:val="clear" w:color="auto" w:fill="FFFFFF"/>
          <w:lang w:eastAsia="pt-BR"/>
        </w:rPr>
        <w:lastRenderedPageBreak/>
        <w:drawing>
          <wp:inline distT="0" distB="0" distL="0" distR="0" wp14:anchorId="591E05FD" wp14:editId="0C117698">
            <wp:extent cx="5724525" cy="7381875"/>
            <wp:effectExtent l="0" t="0" r="9525" b="9525"/>
            <wp:docPr id="11" name="image11.png" descr="https://www.iomat.mt.gov.br/apifront/portal/materia_imagens/imagem/410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 descr="https://www.iomat.mt.gov.br/apifront/portal/materia_imagens/imagem/41095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738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noProof/>
          <w:color w:val="000000"/>
          <w:sz w:val="16"/>
          <w:szCs w:val="16"/>
          <w:shd w:val="clear" w:color="auto" w:fill="FFFFFF"/>
          <w:lang w:eastAsia="pt-BR"/>
        </w:rPr>
        <w:lastRenderedPageBreak/>
        <w:drawing>
          <wp:inline distT="0" distB="0" distL="0" distR="0" wp14:anchorId="6FD8A66E" wp14:editId="3194471C">
            <wp:extent cx="5762625" cy="7058025"/>
            <wp:effectExtent l="0" t="0" r="9525" b="9525"/>
            <wp:docPr id="12" name="image2.png" descr="https://www.iomat.mt.gov.br/apifront/portal/materia_imagens/imagem/410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https://www.iomat.mt.gov.br/apifront/portal/materia_imagens/imagem/41095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05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311E2" w:rsidRPr="00C311E2" w:rsidRDefault="00C311E2" w:rsidP="00C311E2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noProof/>
          <w:color w:val="000000"/>
          <w:sz w:val="16"/>
          <w:szCs w:val="16"/>
          <w:shd w:val="clear" w:color="auto" w:fill="FFFFFF"/>
          <w:lang w:eastAsia="pt-BR"/>
        </w:rPr>
        <w:lastRenderedPageBreak/>
        <w:drawing>
          <wp:inline distT="0" distB="0" distL="0" distR="0" wp14:anchorId="6575BCE6" wp14:editId="1E020A66">
            <wp:extent cx="5743575" cy="6867525"/>
            <wp:effectExtent l="0" t="0" r="9525" b="9525"/>
            <wp:docPr id="13" name="image4.png" descr="https://www.iomat.mt.gov.br/apifront/portal/materia_imagens/imagem/410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https://www.iomat.mt.gov.br/apifront/portal/materia_imagens/imagem/41095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686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1E2" w:rsidRPr="00C311E2" w:rsidRDefault="00C311E2" w:rsidP="00C311E2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Observações: Nas ações 1291-Elaboração e revisão de projetos de infraestrutura de transporte e 1283-Construção de obras de artes especiais e correntes, foram considerados os impactos das Emendas Parlamentares nº 36 e 38 e na ação 4522-Atenção especializada em saúde mental, foram considerados os impactos das Emendas Parlamentares nº 41 e 42.</w:t>
      </w:r>
    </w:p>
    <w:bookmarkEnd w:id="0"/>
    <w:p w:rsidR="00BD5AF3" w:rsidRDefault="00BD5AF3"/>
    <w:sectPr w:rsidR="00BD5A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1E2"/>
    <w:rsid w:val="00BD5AF3"/>
    <w:rsid w:val="00C311E2"/>
    <w:rsid w:val="00CE7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30DC72-9CAF-4A6D-935D-D8A1160B9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224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10" Type="http://schemas.openxmlformats.org/officeDocument/2006/relationships/image" Target="media/image7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19</Pages>
  <Words>4136</Words>
  <Characters>22335</Characters>
  <Application>Microsoft Office Word</Application>
  <DocSecurity>0</DocSecurity>
  <Lines>186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SEFAZ - MT</Company>
  <LinksUpToDate>false</LinksUpToDate>
  <CharactersWithSpaces>26419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Edite Moreira Bons Olhos</dc:creator>
  <cp:keywords/>
  <dc:description/>
  <cp:lastModifiedBy>Edite Moreira Bons Olhos</cp:lastModifiedBy>
  <cp:revision>1</cp:revision>
  <dcterms:created xsi:type="dcterms:W3CDTF">2024-08-02T14:29:00Z</dcterms:created>
  <dcterms:modified xsi:type="dcterms:W3CDTF">2024-08-02T19:16:00Z</dcterms:modified>
</cp:coreProperties>
</file>